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EBE1C">
      <w:pPr>
        <w:pStyle w:val="3"/>
        <w:jc w:val="center"/>
        <w:rPr>
          <w:rFonts w:hint="eastAsia" w:ascii="宋体" w:hAnsi="宋体"/>
          <w:b w:val="0"/>
          <w:bCs w:val="0"/>
        </w:rPr>
      </w:pPr>
      <w:bookmarkStart w:id="0" w:name="_Toc29470"/>
      <w:r>
        <w:rPr>
          <w:rFonts w:hint="eastAsia" w:ascii="宋体" w:hAnsi="宋体"/>
        </w:rPr>
        <w:t xml:space="preserve">   中标人公告内容（非联合体投标时提供。）</w:t>
      </w:r>
      <w:bookmarkEnd w:id="0"/>
    </w:p>
    <w:p w14:paraId="6A603320">
      <w:pPr>
        <w:spacing w:line="360" w:lineRule="auto"/>
        <w:rPr>
          <w:rFonts w:hint="eastAsia" w:ascii="宋体" w:hAnsi="宋体"/>
          <w:spacing w:val="20"/>
          <w:sz w:val="24"/>
        </w:rPr>
      </w:pPr>
      <w:r>
        <w:rPr>
          <w:rFonts w:hint="eastAsia" w:ascii="宋体" w:hAnsi="宋体"/>
          <w:spacing w:val="20"/>
          <w:sz w:val="24"/>
        </w:rPr>
        <w:t xml:space="preserve">采购项目：丽水市市场监督管理局2025年市本级食品安全抽检监测服务项目                            </w:t>
      </w:r>
    </w:p>
    <w:p w14:paraId="0796559A">
      <w:pPr>
        <w:spacing w:line="360" w:lineRule="auto"/>
        <w:rPr>
          <w:rFonts w:hint="eastAsia" w:ascii="宋体" w:hAnsi="宋体" w:eastAsia="宋体"/>
          <w:spacing w:val="20"/>
          <w:sz w:val="24"/>
          <w:lang w:val="en-US" w:eastAsia="zh-CN"/>
        </w:rPr>
      </w:pPr>
      <w:r>
        <w:rPr>
          <w:rFonts w:hint="eastAsia" w:ascii="宋体" w:hAnsi="宋体"/>
          <w:spacing w:val="20"/>
          <w:sz w:val="24"/>
        </w:rPr>
        <w:t>采购编号</w:t>
      </w:r>
      <w:r>
        <w:rPr>
          <w:rFonts w:hint="eastAsia" w:ascii="宋体" w:hAnsi="宋体"/>
          <w:sz w:val="24"/>
          <w:szCs w:val="28"/>
        </w:rPr>
        <w:t>：卓正丽招2025-1010号</w:t>
      </w:r>
      <w:r>
        <w:rPr>
          <w:rFonts w:hint="eastAsia" w:ascii="宋体" w:hAnsi="宋体"/>
          <w:sz w:val="24"/>
          <w:lang w:val="en-GB"/>
        </w:rPr>
        <w:tab/>
      </w:r>
      <w:r>
        <w:rPr>
          <w:rFonts w:hint="eastAsia" w:ascii="宋体" w:hAnsi="宋体"/>
          <w:spacing w:val="20"/>
          <w:sz w:val="24"/>
        </w:rPr>
        <w:t xml:space="preserve">                     </w:t>
      </w:r>
      <w:r>
        <w:rPr>
          <w:rFonts w:hint="eastAsia" w:ascii="宋体" w:hAnsi="宋体"/>
          <w:spacing w:val="20"/>
          <w:sz w:val="24"/>
          <w:lang w:val="en-US" w:eastAsia="zh-CN"/>
        </w:rPr>
        <w:t xml:space="preserve"> </w:t>
      </w:r>
      <w:r>
        <w:rPr>
          <w:rFonts w:hint="eastAsia" w:ascii="宋体" w:hAnsi="宋体"/>
          <w:spacing w:val="20"/>
          <w:sz w:val="24"/>
        </w:rPr>
        <w:t>标项:</w:t>
      </w:r>
      <w:r>
        <w:rPr>
          <w:rFonts w:hint="eastAsia" w:ascii="宋体" w:hAnsi="宋体"/>
          <w:spacing w:val="20"/>
          <w:sz w:val="24"/>
          <w:lang w:val="en-US" w:eastAsia="zh-CN"/>
        </w:rPr>
        <w:t>三</w:t>
      </w:r>
    </w:p>
    <w:tbl>
      <w:tblPr>
        <w:tblStyle w:val="5"/>
        <w:tblW w:w="8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2310"/>
        <w:gridCol w:w="2053"/>
        <w:gridCol w:w="2028"/>
      </w:tblGrid>
      <w:tr w14:paraId="5F39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tcBorders>
              <w:top w:val="single" w:color="auto" w:sz="4" w:space="0"/>
              <w:left w:val="single" w:color="auto" w:sz="4" w:space="0"/>
              <w:bottom w:val="single" w:color="auto" w:sz="4" w:space="0"/>
              <w:right w:val="single" w:color="auto" w:sz="4" w:space="0"/>
            </w:tcBorders>
            <w:vAlign w:val="center"/>
          </w:tcPr>
          <w:p w14:paraId="2D5EBBE7">
            <w:pPr>
              <w:spacing w:line="360" w:lineRule="auto"/>
              <w:jc w:val="center"/>
              <w:rPr>
                <w:rFonts w:hint="eastAsia" w:ascii="宋体" w:hAnsi="宋体"/>
                <w:spacing w:val="20"/>
                <w:sz w:val="24"/>
              </w:rPr>
            </w:pPr>
            <w:r>
              <w:rPr>
                <w:rFonts w:hint="eastAsia" w:ascii="宋体" w:hAnsi="宋体" w:cs="宋体"/>
                <w:spacing w:val="20"/>
                <w:sz w:val="24"/>
              </w:rPr>
              <w:t>中标人名称</w:t>
            </w:r>
          </w:p>
        </w:tc>
        <w:tc>
          <w:tcPr>
            <w:tcW w:w="2310" w:type="dxa"/>
            <w:tcBorders>
              <w:top w:val="single" w:color="auto" w:sz="4" w:space="0"/>
              <w:left w:val="single" w:color="auto" w:sz="4" w:space="0"/>
              <w:bottom w:val="single" w:color="auto" w:sz="4" w:space="0"/>
              <w:right w:val="single" w:color="auto" w:sz="4" w:space="0"/>
            </w:tcBorders>
            <w:vAlign w:val="center"/>
          </w:tcPr>
          <w:p w14:paraId="265B6749">
            <w:pPr>
              <w:spacing w:line="360" w:lineRule="auto"/>
              <w:jc w:val="center"/>
              <w:rPr>
                <w:rFonts w:hint="eastAsia" w:ascii="宋体" w:hAnsi="宋体" w:eastAsia="宋体"/>
                <w:spacing w:val="20"/>
                <w:sz w:val="24"/>
                <w:lang w:val="en-US" w:eastAsia="zh-CN"/>
              </w:rPr>
            </w:pPr>
            <w:r>
              <w:rPr>
                <w:rFonts w:hint="eastAsia" w:ascii="宋体" w:hAnsi="宋体"/>
                <w:spacing w:val="20"/>
                <w:sz w:val="24"/>
                <w:lang w:val="en-US" w:eastAsia="zh-CN"/>
              </w:rPr>
              <w:t>杭州华测检测技术有限公司</w:t>
            </w:r>
          </w:p>
        </w:tc>
        <w:tc>
          <w:tcPr>
            <w:tcW w:w="2053" w:type="dxa"/>
            <w:tcBorders>
              <w:top w:val="single" w:color="auto" w:sz="4" w:space="0"/>
              <w:left w:val="single" w:color="auto" w:sz="4" w:space="0"/>
              <w:bottom w:val="single" w:color="auto" w:sz="4" w:space="0"/>
              <w:right w:val="single" w:color="auto" w:sz="4" w:space="0"/>
            </w:tcBorders>
            <w:vAlign w:val="center"/>
          </w:tcPr>
          <w:p w14:paraId="1B96113F">
            <w:pPr>
              <w:spacing w:line="360" w:lineRule="auto"/>
              <w:jc w:val="center"/>
              <w:rPr>
                <w:rFonts w:hint="eastAsia" w:ascii="宋体" w:hAnsi="宋体"/>
                <w:spacing w:val="20"/>
                <w:sz w:val="24"/>
              </w:rPr>
            </w:pPr>
            <w:r>
              <w:rPr>
                <w:rFonts w:hint="eastAsia" w:ascii="宋体" w:hAnsi="宋体" w:cs="宋体"/>
                <w:spacing w:val="20"/>
                <w:sz w:val="24"/>
              </w:rPr>
              <w:t>中标人负责人</w:t>
            </w:r>
          </w:p>
        </w:tc>
        <w:tc>
          <w:tcPr>
            <w:tcW w:w="2028" w:type="dxa"/>
            <w:tcBorders>
              <w:top w:val="single" w:color="auto" w:sz="4" w:space="0"/>
              <w:left w:val="single" w:color="auto" w:sz="4" w:space="0"/>
              <w:bottom w:val="single" w:color="auto" w:sz="4" w:space="0"/>
              <w:right w:val="single" w:color="auto" w:sz="4" w:space="0"/>
            </w:tcBorders>
            <w:vAlign w:val="center"/>
          </w:tcPr>
          <w:p w14:paraId="67205A6D">
            <w:pPr>
              <w:spacing w:line="360" w:lineRule="auto"/>
              <w:jc w:val="center"/>
              <w:rPr>
                <w:rFonts w:hint="eastAsia" w:ascii="宋体" w:hAnsi="宋体" w:eastAsia="宋体"/>
                <w:spacing w:val="20"/>
                <w:sz w:val="24"/>
                <w:lang w:val="en-US" w:eastAsia="zh-CN"/>
              </w:rPr>
            </w:pPr>
            <w:r>
              <w:rPr>
                <w:rFonts w:hint="eastAsia" w:ascii="宋体" w:hAnsi="宋体"/>
                <w:spacing w:val="20"/>
                <w:sz w:val="24"/>
                <w:lang w:val="en-US" w:eastAsia="zh-CN"/>
              </w:rPr>
              <w:t>齐凤鸣</w:t>
            </w:r>
          </w:p>
        </w:tc>
      </w:tr>
      <w:tr w14:paraId="0698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tcBorders>
              <w:top w:val="single" w:color="auto" w:sz="4" w:space="0"/>
              <w:left w:val="single" w:color="auto" w:sz="4" w:space="0"/>
              <w:bottom w:val="single" w:color="auto" w:sz="4" w:space="0"/>
              <w:right w:val="single" w:color="auto" w:sz="4" w:space="0"/>
            </w:tcBorders>
            <w:vAlign w:val="center"/>
          </w:tcPr>
          <w:p w14:paraId="4EF124AA">
            <w:pPr>
              <w:spacing w:line="360" w:lineRule="auto"/>
              <w:jc w:val="center"/>
              <w:rPr>
                <w:rFonts w:hint="eastAsia" w:ascii="宋体" w:hAnsi="宋体"/>
                <w:spacing w:val="20"/>
                <w:sz w:val="24"/>
              </w:rPr>
            </w:pPr>
            <w:r>
              <w:rPr>
                <w:rFonts w:hint="eastAsia" w:ascii="宋体" w:hAnsi="宋体" w:cs="宋体"/>
                <w:spacing w:val="20"/>
                <w:sz w:val="24"/>
              </w:rPr>
              <w:t>中标人地址</w:t>
            </w:r>
          </w:p>
        </w:tc>
        <w:tc>
          <w:tcPr>
            <w:tcW w:w="6391" w:type="dxa"/>
            <w:gridSpan w:val="3"/>
            <w:tcBorders>
              <w:top w:val="single" w:color="auto" w:sz="4" w:space="0"/>
              <w:left w:val="single" w:color="auto" w:sz="4" w:space="0"/>
              <w:bottom w:val="single" w:color="auto" w:sz="4" w:space="0"/>
              <w:right w:val="single" w:color="auto" w:sz="4" w:space="0"/>
            </w:tcBorders>
            <w:vAlign w:val="center"/>
          </w:tcPr>
          <w:p w14:paraId="141862F4">
            <w:pPr>
              <w:spacing w:line="360" w:lineRule="auto"/>
              <w:jc w:val="center"/>
              <w:rPr>
                <w:rFonts w:hint="eastAsia" w:ascii="宋体" w:hAnsi="宋体"/>
                <w:spacing w:val="20"/>
                <w:sz w:val="24"/>
              </w:rPr>
            </w:pPr>
            <w:r>
              <w:rPr>
                <w:rFonts w:hint="eastAsia" w:ascii="宋体" w:hAnsi="宋体"/>
                <w:spacing w:val="20"/>
                <w:sz w:val="24"/>
              </w:rPr>
              <w:t>浙江省杭州经济技术开发区白杨街道21号大街600号1幢105室、208室</w:t>
            </w:r>
          </w:p>
        </w:tc>
      </w:tr>
      <w:tr w14:paraId="0E36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1" w:type="dxa"/>
            <w:gridSpan w:val="4"/>
            <w:tcBorders>
              <w:top w:val="single" w:color="auto" w:sz="4" w:space="0"/>
              <w:left w:val="single" w:color="auto" w:sz="4" w:space="0"/>
              <w:bottom w:val="single" w:color="auto" w:sz="4" w:space="0"/>
              <w:right w:val="single" w:color="auto" w:sz="4" w:space="0"/>
            </w:tcBorders>
            <w:vAlign w:val="center"/>
          </w:tcPr>
          <w:p w14:paraId="349333C8">
            <w:pPr>
              <w:spacing w:line="360" w:lineRule="auto"/>
              <w:jc w:val="center"/>
              <w:rPr>
                <w:rFonts w:hint="eastAsia" w:ascii="宋体" w:hAnsi="宋体"/>
                <w:spacing w:val="20"/>
                <w:sz w:val="24"/>
              </w:rPr>
            </w:pPr>
            <w:r>
              <w:rPr>
                <w:rFonts w:hint="eastAsia" w:ascii="宋体" w:hAnsi="宋体" w:cs="宋体"/>
                <w:spacing w:val="20"/>
                <w:sz w:val="24"/>
              </w:rPr>
              <w:t>中标标的</w:t>
            </w:r>
          </w:p>
        </w:tc>
      </w:tr>
      <w:tr w14:paraId="65D7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vAlign w:val="center"/>
          </w:tcPr>
          <w:p w14:paraId="569B48BB">
            <w:pPr>
              <w:spacing w:line="360" w:lineRule="auto"/>
              <w:jc w:val="center"/>
              <w:rPr>
                <w:rFonts w:hint="eastAsia" w:ascii="宋体" w:hAnsi="宋体"/>
                <w:spacing w:val="20"/>
                <w:sz w:val="24"/>
              </w:rPr>
            </w:pPr>
            <w:r>
              <w:rPr>
                <w:rFonts w:hint="eastAsia" w:ascii="宋体" w:hAnsi="宋体" w:cs="宋体"/>
                <w:spacing w:val="20"/>
                <w:sz w:val="24"/>
              </w:rPr>
              <w:t>服务内容</w:t>
            </w:r>
          </w:p>
        </w:tc>
        <w:tc>
          <w:tcPr>
            <w:tcW w:w="2028" w:type="dxa"/>
            <w:tcBorders>
              <w:top w:val="single" w:color="auto" w:sz="4" w:space="0"/>
              <w:left w:val="single" w:color="auto" w:sz="4" w:space="0"/>
              <w:bottom w:val="single" w:color="auto" w:sz="4" w:space="0"/>
              <w:right w:val="single" w:color="auto" w:sz="4" w:space="0"/>
            </w:tcBorders>
            <w:vAlign w:val="center"/>
          </w:tcPr>
          <w:p w14:paraId="1E420574">
            <w:pPr>
              <w:spacing w:line="360" w:lineRule="auto"/>
              <w:jc w:val="center"/>
              <w:rPr>
                <w:rFonts w:hint="eastAsia" w:ascii="宋体" w:hAnsi="宋体"/>
                <w:spacing w:val="20"/>
                <w:sz w:val="24"/>
              </w:rPr>
            </w:pPr>
            <w:r>
              <w:rPr>
                <w:rFonts w:hint="eastAsia" w:ascii="宋体" w:hAnsi="宋体" w:cs="宋体"/>
                <w:spacing w:val="20"/>
                <w:sz w:val="24"/>
              </w:rPr>
              <w:t>中标结算比例</w:t>
            </w:r>
          </w:p>
        </w:tc>
      </w:tr>
      <w:tr w14:paraId="03A3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vAlign w:val="center"/>
          </w:tcPr>
          <w:p w14:paraId="279D02BA">
            <w:pPr>
              <w:spacing w:line="360" w:lineRule="auto"/>
              <w:jc w:val="center"/>
              <w:rPr>
                <w:rFonts w:hint="eastAsia" w:ascii="宋体" w:hAnsi="宋体" w:eastAsia="宋体"/>
                <w:spacing w:val="20"/>
                <w:sz w:val="24"/>
                <w:lang w:eastAsia="zh-CN"/>
              </w:rPr>
            </w:pPr>
            <w:r>
              <w:rPr>
                <w:rFonts w:hint="eastAsia" w:ascii="宋体" w:hAnsi="宋体"/>
                <w:spacing w:val="20"/>
                <w:sz w:val="24"/>
                <w:lang w:val="en-US" w:eastAsia="zh-CN"/>
              </w:rPr>
              <w:t>标项三：</w:t>
            </w:r>
            <w:r>
              <w:rPr>
                <w:rFonts w:hint="eastAsia" w:ascii="宋体" w:hAnsi="宋体"/>
                <w:spacing w:val="20"/>
                <w:sz w:val="24"/>
              </w:rPr>
              <w:t>生产环节食品的监督抽检监测</w:t>
            </w:r>
            <w:r>
              <w:rPr>
                <w:rFonts w:hint="eastAsia" w:ascii="宋体" w:hAnsi="宋体"/>
                <w:spacing w:val="20"/>
                <w:sz w:val="24"/>
                <w:lang w:eastAsia="zh-CN"/>
              </w:rPr>
              <w:t>，不少于420批次</w:t>
            </w:r>
          </w:p>
        </w:tc>
        <w:tc>
          <w:tcPr>
            <w:tcW w:w="2028" w:type="dxa"/>
            <w:tcBorders>
              <w:top w:val="single" w:color="auto" w:sz="4" w:space="0"/>
              <w:left w:val="single" w:color="auto" w:sz="4" w:space="0"/>
              <w:bottom w:val="single" w:color="auto" w:sz="4" w:space="0"/>
              <w:right w:val="single" w:color="auto" w:sz="4" w:space="0"/>
            </w:tcBorders>
            <w:vAlign w:val="center"/>
          </w:tcPr>
          <w:p w14:paraId="4D7E5C2E">
            <w:pPr>
              <w:spacing w:line="360" w:lineRule="auto"/>
              <w:jc w:val="center"/>
              <w:rPr>
                <w:rFonts w:hint="default" w:ascii="宋体" w:hAnsi="宋体" w:eastAsia="宋体"/>
                <w:spacing w:val="20"/>
                <w:sz w:val="24"/>
                <w:lang w:val="en-US" w:eastAsia="zh-CN"/>
              </w:rPr>
            </w:pPr>
            <w:r>
              <w:rPr>
                <w:rFonts w:hint="eastAsia" w:ascii="宋体" w:hAnsi="宋体"/>
                <w:spacing w:val="20"/>
                <w:sz w:val="24"/>
                <w:lang w:val="en-US" w:eastAsia="zh-CN"/>
              </w:rPr>
              <w:t>30%</w:t>
            </w:r>
          </w:p>
        </w:tc>
      </w:tr>
      <w:tr w14:paraId="4BCC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1" w:type="dxa"/>
            <w:gridSpan w:val="4"/>
            <w:tcBorders>
              <w:top w:val="single" w:color="auto" w:sz="4" w:space="0"/>
              <w:left w:val="single" w:color="auto" w:sz="4" w:space="0"/>
              <w:bottom w:val="single" w:color="auto" w:sz="4" w:space="0"/>
              <w:right w:val="single" w:color="auto" w:sz="4" w:space="0"/>
            </w:tcBorders>
          </w:tcPr>
          <w:p w14:paraId="4ECFC42C">
            <w:pPr>
              <w:spacing w:line="360" w:lineRule="auto"/>
              <w:rPr>
                <w:rFonts w:hint="eastAsia" w:ascii="宋体" w:hAnsi="宋体" w:cs="宋体"/>
                <w:spacing w:val="20"/>
                <w:sz w:val="24"/>
              </w:rPr>
            </w:pPr>
            <w:r>
              <w:rPr>
                <w:rFonts w:hint="eastAsia" w:ascii="宋体" w:hAnsi="宋体" w:cs="宋体"/>
                <w:spacing w:val="20"/>
                <w:sz w:val="24"/>
              </w:rPr>
              <w:t>服务要求：</w:t>
            </w:r>
          </w:p>
          <w:p w14:paraId="1F8DEF5D">
            <w:pPr>
              <w:spacing w:line="360" w:lineRule="auto"/>
              <w:rPr>
                <w:rFonts w:hint="eastAsia" w:ascii="宋体" w:hAnsi="宋体" w:cs="宋体"/>
                <w:spacing w:val="20"/>
                <w:sz w:val="24"/>
              </w:rPr>
            </w:pPr>
            <w:r>
              <w:rPr>
                <w:rFonts w:hint="eastAsia" w:ascii="宋体" w:hAnsi="宋体" w:cs="宋体"/>
                <w:spacing w:val="20"/>
                <w:sz w:val="24"/>
              </w:rPr>
              <w:t>1.乙方应配置移动终端，通过移动终端抽样并出具电子认证版检验报告。</w:t>
            </w:r>
          </w:p>
          <w:p w14:paraId="603C83DD">
            <w:pPr>
              <w:spacing w:line="360" w:lineRule="auto"/>
              <w:rPr>
                <w:rFonts w:hint="eastAsia" w:ascii="宋体" w:hAnsi="宋体" w:cs="宋体"/>
                <w:spacing w:val="20"/>
                <w:sz w:val="24"/>
              </w:rPr>
            </w:pPr>
            <w:r>
              <w:rPr>
                <w:rFonts w:hint="eastAsia" w:ascii="宋体" w:hAnsi="宋体" w:cs="宋体"/>
                <w:spacing w:val="20"/>
                <w:sz w:val="24"/>
              </w:rPr>
              <w:t>2.本项目实行“</w:t>
            </w:r>
            <w:bookmarkStart w:id="1" w:name="_GoBack"/>
            <w:bookmarkEnd w:id="1"/>
            <w:r>
              <w:rPr>
                <w:rFonts w:hint="eastAsia" w:ascii="宋体" w:hAnsi="宋体" w:cs="宋体"/>
                <w:spacing w:val="20"/>
                <w:sz w:val="24"/>
              </w:rPr>
              <w:t>抽”“检”分离（食用农产品、网络抽样食品除外）。标项一、标项二和标项四；标项三和标项五的中标单位抽样实行互换。</w:t>
            </w:r>
          </w:p>
          <w:p w14:paraId="55DB7D52">
            <w:pPr>
              <w:spacing w:line="360" w:lineRule="auto"/>
              <w:rPr>
                <w:rFonts w:hint="eastAsia" w:ascii="宋体" w:hAnsi="宋体" w:cs="宋体"/>
                <w:spacing w:val="20"/>
                <w:sz w:val="24"/>
              </w:rPr>
            </w:pPr>
            <w:r>
              <w:rPr>
                <w:rFonts w:hint="eastAsia" w:ascii="宋体" w:hAnsi="宋体" w:cs="宋体"/>
                <w:spacing w:val="20"/>
                <w:sz w:val="24"/>
              </w:rPr>
              <w:t>3. 抽样服务</w:t>
            </w:r>
          </w:p>
          <w:p w14:paraId="1634247C">
            <w:pPr>
              <w:spacing w:line="360" w:lineRule="auto"/>
              <w:rPr>
                <w:rFonts w:hint="eastAsia" w:ascii="宋体" w:hAnsi="宋体" w:cs="宋体"/>
                <w:spacing w:val="20"/>
                <w:sz w:val="24"/>
              </w:rPr>
            </w:pPr>
            <w:r>
              <w:rPr>
                <w:rFonts w:hint="eastAsia" w:ascii="宋体" w:hAnsi="宋体" w:cs="宋体"/>
                <w:spacing w:val="20"/>
                <w:sz w:val="24"/>
              </w:rPr>
              <w:t>3.1 抽样时间：按照甲方任务计划要求，应在接到抽样任务通知后2个工作日内安排抽样人员开始实施抽样工作，在规定时间内完成抽样任务。</w:t>
            </w:r>
          </w:p>
          <w:p w14:paraId="3CA32A6D">
            <w:pPr>
              <w:spacing w:line="360" w:lineRule="auto"/>
              <w:rPr>
                <w:rFonts w:hint="eastAsia" w:ascii="宋体" w:hAnsi="宋体" w:cs="宋体"/>
                <w:spacing w:val="20"/>
                <w:sz w:val="24"/>
              </w:rPr>
            </w:pPr>
            <w:r>
              <w:rPr>
                <w:rFonts w:hint="eastAsia" w:ascii="宋体" w:hAnsi="宋体" w:cs="宋体"/>
                <w:spacing w:val="20"/>
                <w:sz w:val="24"/>
              </w:rPr>
              <w:t>3.2 抽样地点：根据甲方实际工作要求，由甲方确定具体抽样地点（或对象）。</w:t>
            </w:r>
          </w:p>
          <w:p w14:paraId="76D87843">
            <w:pPr>
              <w:spacing w:line="360" w:lineRule="auto"/>
              <w:rPr>
                <w:rFonts w:hint="eastAsia" w:ascii="宋体" w:hAnsi="宋体" w:cs="宋体"/>
                <w:spacing w:val="20"/>
                <w:sz w:val="24"/>
              </w:rPr>
            </w:pPr>
            <w:r>
              <w:rPr>
                <w:rFonts w:hint="eastAsia" w:ascii="宋体" w:hAnsi="宋体" w:cs="宋体"/>
                <w:spacing w:val="20"/>
                <w:sz w:val="24"/>
              </w:rPr>
              <w:t>3.3 抽样规范：需根据检验项目及国家标准中规定的采样方法及采样数量，对抽样过程及《抽样单》记录内容的合法性、真实性负责。</w:t>
            </w:r>
          </w:p>
          <w:p w14:paraId="73E7453B">
            <w:pPr>
              <w:spacing w:line="360" w:lineRule="auto"/>
              <w:rPr>
                <w:rFonts w:hint="eastAsia" w:ascii="宋体" w:hAnsi="宋体" w:cs="宋体"/>
                <w:spacing w:val="20"/>
                <w:sz w:val="24"/>
              </w:rPr>
            </w:pPr>
            <w:r>
              <w:rPr>
                <w:rFonts w:hint="eastAsia" w:ascii="宋体" w:hAnsi="宋体" w:cs="宋体"/>
                <w:spacing w:val="20"/>
                <w:sz w:val="24"/>
              </w:rPr>
              <w:t>3.4 抽样频次：以同一标称生产者或被抽检人销售的同一品牌、同一型号、同一规格、同一批次（生产日期）的食品作为一个抽检批次。国家食品安全抽检监测系统同一报送分类下，同一食品生产经营单位（门店）同一食品品种抽检频率不超过2批次/季度，同一食品生产经营单位（门店）累计不超过8批次/季度，小微食用农产品经营（摊位）同日一次性抽样不超过2批次。</w:t>
            </w:r>
          </w:p>
          <w:p w14:paraId="60BDA682">
            <w:pPr>
              <w:spacing w:line="360" w:lineRule="auto"/>
              <w:rPr>
                <w:rFonts w:hint="eastAsia" w:ascii="宋体" w:hAnsi="宋体" w:cs="宋体"/>
                <w:spacing w:val="20"/>
                <w:sz w:val="24"/>
              </w:rPr>
            </w:pPr>
            <w:r>
              <w:rPr>
                <w:rFonts w:hint="eastAsia" w:ascii="宋体" w:hAnsi="宋体" w:cs="宋体"/>
                <w:spacing w:val="20"/>
                <w:sz w:val="24"/>
              </w:rPr>
              <w:t>3.5 样品贮存、移交：按样品贮存和运输相关条件和要求，在规定时限内将样品移交至甲方指定承检乙方。样品移交后，由承检机构负责将样品运输至检测实验室。</w:t>
            </w:r>
          </w:p>
          <w:p w14:paraId="0B279957">
            <w:pPr>
              <w:spacing w:line="360" w:lineRule="auto"/>
              <w:rPr>
                <w:rFonts w:hint="eastAsia" w:ascii="宋体" w:hAnsi="宋体" w:cs="宋体"/>
                <w:spacing w:val="20"/>
                <w:sz w:val="24"/>
              </w:rPr>
            </w:pPr>
            <w:r>
              <w:rPr>
                <w:rFonts w:hint="eastAsia" w:ascii="宋体" w:hAnsi="宋体" w:cs="宋体"/>
                <w:spacing w:val="20"/>
                <w:sz w:val="24"/>
              </w:rPr>
              <w:t>4.检验检测服务</w:t>
            </w:r>
          </w:p>
          <w:p w14:paraId="52433B72">
            <w:pPr>
              <w:spacing w:line="360" w:lineRule="auto"/>
              <w:rPr>
                <w:rFonts w:hint="eastAsia" w:ascii="宋体" w:hAnsi="宋体" w:cs="宋体"/>
                <w:spacing w:val="20"/>
                <w:sz w:val="24"/>
              </w:rPr>
            </w:pPr>
            <w:r>
              <w:rPr>
                <w:rFonts w:hint="eastAsia" w:ascii="宋体" w:hAnsi="宋体" w:cs="宋体"/>
                <w:spacing w:val="20"/>
                <w:sz w:val="24"/>
              </w:rPr>
              <w:t>4.1样品接收：样品交接时，接收方应按照抽样相关技术规范，核查样品符合性，出具样品接收凭证；出现样品不符合相关技术规范时，接收方有权拒收，样品自然作废。一旦样品接收，即由承检乙方承担本样品监督抽查全部责任；拒收的样品由抽样协助（协同）乙方承担相应责任。双方有争议时，可自行沟通解决或者依法寻求其他途径解决。</w:t>
            </w:r>
          </w:p>
          <w:p w14:paraId="4A796671">
            <w:pPr>
              <w:spacing w:line="360" w:lineRule="auto"/>
              <w:rPr>
                <w:rFonts w:hint="eastAsia" w:ascii="宋体" w:hAnsi="宋体" w:cs="宋体"/>
                <w:spacing w:val="20"/>
                <w:sz w:val="24"/>
              </w:rPr>
            </w:pPr>
            <w:r>
              <w:rPr>
                <w:rFonts w:hint="eastAsia" w:ascii="宋体" w:hAnsi="宋体" w:cs="宋体"/>
                <w:spacing w:val="20"/>
                <w:sz w:val="24"/>
              </w:rPr>
              <w:t>4.2 样品检验：由承检乙方负责，并对样品检验结果的真实性和准确性负责。为确保采样样品的新鲜度，样品接收完成后应按规定快速送实验室检。</w:t>
            </w:r>
          </w:p>
          <w:p w14:paraId="30278A6E">
            <w:pPr>
              <w:spacing w:line="360" w:lineRule="auto"/>
              <w:rPr>
                <w:rFonts w:hint="eastAsia" w:ascii="宋体" w:hAnsi="宋体" w:cs="宋体"/>
                <w:spacing w:val="20"/>
                <w:sz w:val="24"/>
              </w:rPr>
            </w:pPr>
            <w:r>
              <w:rPr>
                <w:rFonts w:hint="eastAsia" w:ascii="宋体" w:hAnsi="宋体" w:cs="宋体"/>
                <w:spacing w:val="20"/>
                <w:sz w:val="24"/>
              </w:rPr>
              <w:t>4.3 报告出具：应当自收到样品之日起 20 个工作日内出具检验报告，并把检验数据正确无误地录入国家食品安全抽样检验信息系统。检验结论发现被检样品含有非食用物质、不合格食品可能对身体健康和生命安全造成严重危害的，应当按照规定12小时内报告甲方和生产经营者所在地市场监管部门。投诉、举报、突发性食品安全事件中涉及的食品检验应在检验结论产生后第一时间出具报告，一般不超过 5 个工作日。</w:t>
            </w:r>
          </w:p>
          <w:p w14:paraId="22694396">
            <w:pPr>
              <w:spacing w:line="360" w:lineRule="auto"/>
              <w:rPr>
                <w:rFonts w:hint="eastAsia" w:ascii="宋体" w:hAnsi="宋体" w:cs="宋体"/>
                <w:spacing w:val="20"/>
                <w:sz w:val="24"/>
              </w:rPr>
            </w:pPr>
          </w:p>
          <w:p w14:paraId="13A5B377">
            <w:pPr>
              <w:spacing w:line="360" w:lineRule="auto"/>
              <w:rPr>
                <w:rFonts w:hint="eastAsia" w:ascii="宋体" w:hAnsi="宋体" w:cs="宋体"/>
                <w:spacing w:val="20"/>
                <w:sz w:val="24"/>
              </w:rPr>
            </w:pPr>
            <w:r>
              <w:rPr>
                <w:rFonts w:hint="eastAsia" w:ascii="宋体" w:hAnsi="宋体" w:cs="宋体"/>
                <w:spacing w:val="20"/>
                <w:sz w:val="24"/>
              </w:rPr>
              <w:t>4.4备样处置：每年1月、4月、7月、10月为集中处置月。乙方需配合甲方做好备样处置工作，按时汇总报送处置清单。</w:t>
            </w:r>
          </w:p>
          <w:p w14:paraId="56E289C9">
            <w:pPr>
              <w:spacing w:line="360" w:lineRule="auto"/>
              <w:rPr>
                <w:rFonts w:hint="eastAsia" w:ascii="宋体" w:hAnsi="宋体"/>
                <w:spacing w:val="20"/>
                <w:sz w:val="24"/>
              </w:rPr>
            </w:pPr>
          </w:p>
        </w:tc>
      </w:tr>
    </w:tbl>
    <w:p w14:paraId="0B2055A1">
      <w:pPr>
        <w:rPr>
          <w:rFonts w:hint="eastAsia" w:ascii="宋体" w:hAnsi="宋体"/>
          <w:spacing w:val="20"/>
          <w:szCs w:val="21"/>
        </w:rPr>
      </w:pPr>
      <w:r>
        <w:rPr>
          <w:rFonts w:hint="eastAsia" w:ascii="宋体" w:hAnsi="宋体"/>
          <w:spacing w:val="20"/>
          <w:szCs w:val="21"/>
        </w:rPr>
        <w:t>注：1、中标人应根据其投标情况填写该表，并保证其与投标文件内容的一致性、正确性和真实性；</w:t>
      </w:r>
    </w:p>
    <w:p w14:paraId="7281B21D">
      <w:pPr>
        <w:ind w:firstLine="490" w:firstLineChars="196"/>
        <w:rPr>
          <w:rFonts w:hint="eastAsia" w:ascii="宋体" w:hAnsi="宋体"/>
          <w:spacing w:val="20"/>
          <w:szCs w:val="21"/>
        </w:rPr>
      </w:pPr>
      <w:r>
        <w:rPr>
          <w:rFonts w:hint="eastAsia" w:ascii="宋体" w:hAnsi="宋体"/>
          <w:spacing w:val="20"/>
          <w:szCs w:val="21"/>
        </w:rPr>
        <w:t>2、填写该表不代表中标人已具有中标人资格。本表只作为中标结果公告内容的一部分，进行公告使用；</w:t>
      </w:r>
    </w:p>
    <w:p w14:paraId="749AFE50">
      <w:pPr>
        <w:ind w:firstLine="490" w:firstLineChars="196"/>
        <w:rPr>
          <w:rFonts w:hint="eastAsia" w:ascii="宋体" w:hAnsi="宋体"/>
          <w:spacing w:val="20"/>
          <w:szCs w:val="21"/>
        </w:rPr>
      </w:pPr>
      <w:r>
        <w:rPr>
          <w:rFonts w:hint="eastAsia" w:ascii="宋体" w:hAnsi="宋体"/>
          <w:spacing w:val="20"/>
          <w:szCs w:val="21"/>
        </w:rPr>
        <w:t>3、本表内容涉及较多，中标人可以适当增减表格行数，以保证表格内容的完整；</w:t>
      </w:r>
    </w:p>
    <w:p w14:paraId="791B45F6">
      <w:pPr>
        <w:ind w:firstLine="490" w:firstLineChars="196"/>
        <w:rPr>
          <w:rFonts w:hint="eastAsia" w:ascii="宋体" w:hAnsi="宋体"/>
          <w:spacing w:val="20"/>
          <w:szCs w:val="21"/>
        </w:rPr>
      </w:pPr>
      <w:r>
        <w:rPr>
          <w:rFonts w:hint="eastAsia" w:ascii="宋体" w:hAnsi="宋体"/>
          <w:spacing w:val="20"/>
          <w:szCs w:val="21"/>
        </w:rPr>
        <w:t>4、评审结果排名第一的中标人在评审结束后</w:t>
      </w:r>
      <w:r>
        <w:rPr>
          <w:rFonts w:hint="eastAsia" w:ascii="宋体" w:hAnsi="宋体"/>
          <w:b/>
          <w:spacing w:val="20"/>
          <w:szCs w:val="21"/>
        </w:rPr>
        <w:t>2个工作日内</w:t>
      </w:r>
      <w:r>
        <w:rPr>
          <w:rFonts w:hint="eastAsia" w:ascii="宋体" w:hAnsi="宋体"/>
          <w:spacing w:val="20"/>
          <w:szCs w:val="21"/>
        </w:rPr>
        <w:t>将该表格及项目投标文件电子文档刻录成光盘或将电子文档提交给代理机构的项目负责人。未按时提交规定内容造成后果由中标人自行承担。</w:t>
      </w:r>
    </w:p>
    <w:p w14:paraId="2657D4CC">
      <w:pPr>
        <w:ind w:firstLine="490" w:firstLineChars="196"/>
        <w:rPr>
          <w:rFonts w:hint="eastAsia" w:ascii="宋体" w:hAnsi="宋体"/>
          <w:spacing w:val="20"/>
          <w:szCs w:val="21"/>
        </w:rPr>
      </w:pPr>
      <w:r>
        <w:rPr>
          <w:rFonts w:hint="eastAsia" w:ascii="宋体" w:hAnsi="宋体"/>
          <w:spacing w:val="20"/>
          <w:szCs w:val="21"/>
        </w:rPr>
        <w:t>5、中标结果公告内容如涉及中标人的商业秘密等法律法规规定可以不予公告的情形，中标人应另附书面说明，如未事前书面说明造成的后果由中标人自行承担。</w:t>
      </w:r>
    </w:p>
    <w:p w14:paraId="128B5547">
      <w:pPr>
        <w:rPr>
          <w:rFonts w:hint="eastAsia" w:ascii="宋体" w:hAnsi="宋体"/>
          <w:spacing w:val="20"/>
          <w:sz w:val="24"/>
        </w:rPr>
      </w:pPr>
    </w:p>
    <w:p w14:paraId="0CCFC2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D361FA"/>
    <w:rsid w:val="0CD3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9"/>
    <w:pPr>
      <w:keepNext/>
      <w:keepLines/>
      <w:spacing w:before="260" w:after="260" w:line="360" w:lineRule="auto"/>
      <w:ind w:firstLine="602" w:firstLineChars="200"/>
      <w:jc w:val="left"/>
      <w:outlineLvl w:val="2"/>
    </w:pPr>
    <w:rPr>
      <w:rFonts w:ascii="仿宋_GB2312" w:hAnsi="仿宋_GB2312"/>
      <w:b/>
      <w:bCs/>
      <w:sz w:val="30"/>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1"/>
    <w:qFormat/>
    <w:uiPriority w:val="0"/>
    <w:pPr>
      <w:widowControl w:val="0"/>
      <w:adjustRightInd w:val="0"/>
      <w:spacing w:line="318" w:lineRule="atLeast"/>
      <w:ind w:left="369" w:firstLine="369"/>
      <w:jc w:val="both"/>
      <w:textAlignment w:val="baseline"/>
    </w:pPr>
    <w:rPr>
      <w:rFonts w:ascii="宋体" w:hAnsi="Calibri" w:eastAsia="宋体" w:cs="Times New Roman"/>
      <w:kern w:val="2"/>
      <w:sz w:val="21"/>
      <w:lang w:val="en-US" w:eastAsia="zh-CN" w:bidi="ar-SA"/>
    </w:rPr>
  </w:style>
  <w:style w:type="paragraph" w:styleId="4">
    <w:name w:val="Normal Indent"/>
    <w:basedOn w:val="1"/>
    <w:next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2025-05-23T01:55:00Z</dcterms:created>
  <dc:creator>shadyforlife</dc:creator>
  <cp:lastModifiedBy>shadyforlife</cp:lastModifiedBy>
  <dcterms:modified xsi:type="dcterms:W3CDTF">2025-05-23T02:04:14Z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A743FD3C33254F44898447D565991C78_11</vt:lpwstr>
  </property>
  <property fmtid="{D5CDD505-2E9C-101B-9397-08002B2CF9AE}" pid="4" name="KSOTemplateDocerSaveRecord">
    <vt:lpwstr>eyJoZGlkIjoiMTJjMTQyODA5N2RhYjg3Y2E3MmZkNTA2YjBlNjQwNDUiLCJ1c2VySWQiOiI5NTg0MTU5NzUifQ==</vt:lpwstr>
  </property>
</Properties>
</file>